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B0B" w:rsidRPr="00C70EC3" w:rsidRDefault="00091B0B" w:rsidP="00091B0B">
      <w:pPr>
        <w:pStyle w:val="Title"/>
        <w:rPr>
          <w:rFonts w:ascii="Arial" w:hAnsi="Arial" w:cs="Arial"/>
          <w:sz w:val="28"/>
          <w:szCs w:val="28"/>
        </w:rPr>
      </w:pPr>
      <w:bookmarkStart w:id="0" w:name="_GoBack"/>
      <w:bookmarkEnd w:id="0"/>
      <w:r w:rsidRPr="00C70EC3">
        <w:rPr>
          <w:rFonts w:ascii="Arial" w:hAnsi="Arial" w:cs="Arial"/>
          <w:sz w:val="28"/>
          <w:szCs w:val="28"/>
        </w:rPr>
        <w:t>Design and Setting</w:t>
      </w:r>
    </w:p>
    <w:p w:rsidR="00091B0B" w:rsidRPr="00C70EC3" w:rsidRDefault="00091B0B" w:rsidP="00091B0B">
      <w:pPr>
        <w:tabs>
          <w:tab w:val="left" w:pos="375"/>
          <w:tab w:val="left" w:pos="426"/>
        </w:tabs>
        <w:spacing w:before="240" w:after="240"/>
        <w:ind w:left="360"/>
        <w:rPr>
          <w:rFonts w:ascii="Arial" w:hAnsi="Arial" w:cs="Arial"/>
          <w:iCs/>
          <w:szCs w:val="18"/>
        </w:rPr>
      </w:pPr>
      <w:r w:rsidRPr="00C70EC3">
        <w:rPr>
          <w:rFonts w:ascii="Arial" w:hAnsi="Arial" w:cs="Arial"/>
          <w:iCs/>
          <w:szCs w:val="18"/>
        </w:rPr>
        <w:t>See SG for introductory notes.</w:t>
      </w:r>
    </w:p>
    <w:p w:rsidR="00091B0B" w:rsidRDefault="00091B0B" w:rsidP="00091B0B">
      <w:pPr>
        <w:numPr>
          <w:ilvl w:val="0"/>
          <w:numId w:val="2"/>
        </w:numPr>
        <w:spacing w:after="240"/>
        <w:rPr>
          <w:rFonts w:ascii="Arial" w:hAnsi="Arial" w:cs="Arial"/>
        </w:rPr>
      </w:pPr>
      <w:r w:rsidRPr="00C70EC3">
        <w:rPr>
          <w:rFonts w:ascii="Arial" w:hAnsi="Arial" w:cs="Arial"/>
          <w:bCs/>
        </w:rPr>
        <w:t xml:space="preserve">Answer these questions about the film as a whole.  Be sure that your answers include enough specific details of sets and scenes so that you can write a good answer on setting.  </w:t>
      </w:r>
      <w:r w:rsidRPr="00C70EC3">
        <w:rPr>
          <w:rFonts w:ascii="Arial" w:hAnsi="Arial" w:cs="Arial"/>
        </w:rPr>
        <w:t xml:space="preserve">As you answer the following questions, consider not just what you are told, but </w:t>
      </w:r>
      <w:r w:rsidRPr="00C70EC3">
        <w:rPr>
          <w:rFonts w:ascii="Arial" w:hAnsi="Arial" w:cs="Arial"/>
          <w:b/>
        </w:rPr>
        <w:t>HOW</w:t>
      </w:r>
      <w:r w:rsidRPr="00C70EC3">
        <w:rPr>
          <w:rFonts w:ascii="Arial" w:hAnsi="Arial" w:cs="Arial"/>
        </w:rPr>
        <w:t xml:space="preserve"> these things are made clear.  </w:t>
      </w:r>
    </w:p>
    <w:p w:rsidR="00091B0B" w:rsidRPr="00C70EC3" w:rsidRDefault="00091B0B" w:rsidP="00091B0B">
      <w:pPr>
        <w:numPr>
          <w:ilvl w:val="0"/>
          <w:numId w:val="1"/>
        </w:numPr>
        <w:tabs>
          <w:tab w:val="clear" w:pos="360"/>
          <w:tab w:val="left" w:pos="375"/>
          <w:tab w:val="left" w:pos="426"/>
        </w:tabs>
        <w:spacing w:after="120"/>
        <w:ind w:left="357" w:hanging="357"/>
        <w:rPr>
          <w:rFonts w:ascii="Arial" w:hAnsi="Arial" w:cs="Arial"/>
          <w:b/>
          <w:szCs w:val="18"/>
        </w:rPr>
      </w:pPr>
      <w:r w:rsidRPr="00C70EC3">
        <w:rPr>
          <w:rFonts w:ascii="Arial" w:hAnsi="Arial" w:cs="Arial"/>
          <w:b/>
          <w:szCs w:val="18"/>
        </w:rPr>
        <w:t xml:space="preserve">Which of the descriptions – </w:t>
      </w:r>
      <w:r w:rsidRPr="00C70EC3">
        <w:rPr>
          <w:rFonts w:ascii="Arial" w:hAnsi="Arial" w:cs="Arial"/>
          <w:b/>
          <w:bCs/>
          <w:szCs w:val="18"/>
        </w:rPr>
        <w:t>real, imaginary, naturalistic, expressionistic, fantastic, symbolic, literal – best suit this film?</w:t>
      </w:r>
    </w:p>
    <w:p w:rsidR="00091B0B" w:rsidRPr="00C70EC3" w:rsidRDefault="00091B0B" w:rsidP="00091B0B">
      <w:pPr>
        <w:tabs>
          <w:tab w:val="left" w:pos="426"/>
        </w:tabs>
        <w:spacing w:after="240"/>
        <w:ind w:left="357"/>
        <w:rPr>
          <w:rFonts w:ascii="Arial" w:hAnsi="Arial" w:cs="Arial"/>
          <w:bCs/>
          <w:sz w:val="20"/>
        </w:rPr>
      </w:pPr>
      <w:r w:rsidRPr="00C70EC3">
        <w:rPr>
          <w:rFonts w:ascii="Arial" w:hAnsi="Arial" w:cs="Arial"/>
          <w:bCs/>
          <w:sz w:val="20"/>
        </w:rPr>
        <w:t>Real – it was shot on location, and in the very country in which it was set; naturalistic, literal.</w:t>
      </w:r>
    </w:p>
    <w:p w:rsidR="00091B0B" w:rsidRPr="00C70EC3" w:rsidRDefault="00091B0B" w:rsidP="00091B0B">
      <w:pPr>
        <w:numPr>
          <w:ilvl w:val="0"/>
          <w:numId w:val="1"/>
        </w:numPr>
        <w:spacing w:after="120"/>
        <w:ind w:left="357" w:hanging="357"/>
        <w:rPr>
          <w:rFonts w:ascii="Arial" w:hAnsi="Arial" w:cs="Arial"/>
          <w:b/>
          <w:szCs w:val="18"/>
        </w:rPr>
      </w:pPr>
      <w:r w:rsidRPr="00C70EC3">
        <w:rPr>
          <w:rFonts w:ascii="Arial" w:hAnsi="Arial" w:cs="Arial"/>
          <w:b/>
          <w:szCs w:val="18"/>
        </w:rPr>
        <w:t>When is the film set?  Cite evidence.</w:t>
      </w:r>
    </w:p>
    <w:p w:rsidR="00091B0B" w:rsidRPr="00C70EC3" w:rsidRDefault="00091B0B" w:rsidP="00091B0B">
      <w:pPr>
        <w:spacing w:after="240"/>
        <w:ind w:left="357"/>
        <w:rPr>
          <w:rFonts w:ascii="Arial" w:hAnsi="Arial" w:cs="Arial"/>
          <w:sz w:val="20"/>
        </w:rPr>
      </w:pPr>
      <w:r w:rsidRPr="00C70EC3">
        <w:rPr>
          <w:rFonts w:ascii="Arial" w:hAnsi="Arial" w:cs="Arial"/>
          <w:sz w:val="20"/>
        </w:rPr>
        <w:t>2004:  the date on the back of the Dypraxa packet; confirmed by the dates on the computer screen for Grace Makanga's tour; scenes of Tessa and Justin meeting probably a couple of years earlier.</w:t>
      </w:r>
    </w:p>
    <w:p w:rsidR="00091B0B" w:rsidRPr="00C70EC3" w:rsidRDefault="00091B0B" w:rsidP="00091B0B">
      <w:pPr>
        <w:numPr>
          <w:ilvl w:val="0"/>
          <w:numId w:val="1"/>
        </w:numPr>
        <w:spacing w:after="120"/>
        <w:ind w:left="357" w:hanging="357"/>
        <w:rPr>
          <w:rFonts w:ascii="Arial" w:hAnsi="Arial" w:cs="Arial"/>
          <w:b/>
          <w:szCs w:val="18"/>
        </w:rPr>
      </w:pPr>
      <w:r w:rsidRPr="00C70EC3">
        <w:rPr>
          <w:rFonts w:ascii="Arial" w:hAnsi="Arial" w:cs="Arial"/>
          <w:b/>
          <w:szCs w:val="18"/>
        </w:rPr>
        <w:t>Where is this film set?</w:t>
      </w:r>
    </w:p>
    <w:p w:rsidR="00091B0B" w:rsidRPr="00C70EC3" w:rsidRDefault="00091B0B" w:rsidP="00091B0B">
      <w:pPr>
        <w:spacing w:after="240"/>
        <w:ind w:left="357"/>
        <w:rPr>
          <w:rFonts w:ascii="Arial" w:hAnsi="Arial" w:cs="Arial"/>
          <w:sz w:val="20"/>
        </w:rPr>
      </w:pPr>
      <w:r w:rsidRPr="00C70EC3">
        <w:rPr>
          <w:rFonts w:ascii="Arial" w:hAnsi="Arial" w:cs="Arial"/>
          <w:sz w:val="20"/>
        </w:rPr>
        <w:t>Kenya mostly + London, Berlin and the Sudan</w:t>
      </w:r>
    </w:p>
    <w:p w:rsidR="00091B0B" w:rsidRPr="00C70EC3" w:rsidRDefault="00091B0B" w:rsidP="00091B0B">
      <w:pPr>
        <w:numPr>
          <w:ilvl w:val="0"/>
          <w:numId w:val="1"/>
        </w:numPr>
        <w:spacing w:after="120"/>
        <w:ind w:left="357" w:hanging="357"/>
        <w:rPr>
          <w:rFonts w:ascii="Arial" w:hAnsi="Arial" w:cs="Arial"/>
          <w:b/>
          <w:szCs w:val="18"/>
        </w:rPr>
      </w:pPr>
      <w:r w:rsidRPr="00C70EC3">
        <w:rPr>
          <w:rFonts w:ascii="Arial" w:hAnsi="Arial" w:cs="Arial"/>
          <w:b/>
          <w:szCs w:val="18"/>
        </w:rPr>
        <w:t>Setting is not just time and place; it is also the social setting – the people among whom the action takes place.  Explain the social setting for this film.</w:t>
      </w:r>
    </w:p>
    <w:p w:rsidR="00091B0B" w:rsidRPr="00C70EC3" w:rsidRDefault="00091B0B" w:rsidP="00091B0B">
      <w:pPr>
        <w:spacing w:after="120"/>
        <w:ind w:left="357"/>
        <w:rPr>
          <w:rFonts w:ascii="Arial" w:hAnsi="Arial" w:cs="Arial"/>
          <w:sz w:val="20"/>
        </w:rPr>
      </w:pPr>
      <w:proofErr w:type="gramStart"/>
      <w:r w:rsidRPr="00C70EC3">
        <w:rPr>
          <w:rFonts w:ascii="Arial" w:hAnsi="Arial" w:cs="Arial"/>
          <w:sz w:val="20"/>
        </w:rPr>
        <w:t>Two main groups – the Kenyans and the British diplomatic and business presence in the country.</w:t>
      </w:r>
      <w:proofErr w:type="gramEnd"/>
      <w:r w:rsidRPr="00C70EC3">
        <w:rPr>
          <w:rFonts w:ascii="Arial" w:hAnsi="Arial" w:cs="Arial"/>
          <w:sz w:val="20"/>
        </w:rPr>
        <w:t xml:space="preserve">  </w:t>
      </w:r>
    </w:p>
    <w:p w:rsidR="00091B0B" w:rsidRPr="00C70EC3" w:rsidRDefault="00091B0B" w:rsidP="00091B0B">
      <w:pPr>
        <w:spacing w:after="120"/>
        <w:ind w:left="357"/>
        <w:rPr>
          <w:rFonts w:ascii="Arial" w:hAnsi="Arial" w:cs="Arial"/>
          <w:sz w:val="20"/>
        </w:rPr>
      </w:pPr>
      <w:r w:rsidRPr="00C70EC3">
        <w:rPr>
          <w:rFonts w:ascii="Arial" w:hAnsi="Arial" w:cs="Arial"/>
          <w:sz w:val="20"/>
        </w:rPr>
        <w:t>The Kenyans are represented by Dr Ngaba, the Health Minister, the various health workers; the police; and the many at the other end of the social scale: the servants, the children in the slums, the patients in the hospital.  Most of them are poor and many suffer from poor health.</w:t>
      </w:r>
    </w:p>
    <w:p w:rsidR="00091B0B" w:rsidRPr="00C70EC3" w:rsidRDefault="00091B0B" w:rsidP="00091B0B">
      <w:pPr>
        <w:spacing w:after="120"/>
        <w:ind w:left="357"/>
        <w:rPr>
          <w:rFonts w:ascii="Arial" w:hAnsi="Arial" w:cs="Arial"/>
          <w:sz w:val="20"/>
          <w:lang w:eastAsia="en-GB"/>
        </w:rPr>
      </w:pPr>
      <w:r w:rsidRPr="00C70EC3">
        <w:rPr>
          <w:rFonts w:ascii="Arial" w:hAnsi="Arial" w:cs="Arial"/>
          <w:sz w:val="20"/>
        </w:rPr>
        <w:t>The British are mostly wealthy and of the 'ruling class' – this includes Tessa and Justin.  He is from a diplomatic family – "</w:t>
      </w:r>
      <w:r w:rsidRPr="00C70EC3">
        <w:rPr>
          <w:rFonts w:ascii="Arial" w:hAnsi="Arial" w:cs="Arial"/>
          <w:sz w:val="20"/>
          <w:lang w:eastAsia="en-GB"/>
        </w:rPr>
        <w:t xml:space="preserve">Quayles have always made reliable foreign service men," says Pellegrin – and she comes from money: "Tess left you bloody well off."  </w:t>
      </w:r>
    </w:p>
    <w:p w:rsidR="00091B0B" w:rsidRPr="00C70EC3" w:rsidRDefault="00091B0B" w:rsidP="00091B0B">
      <w:pPr>
        <w:spacing w:after="120"/>
        <w:ind w:left="357"/>
        <w:rPr>
          <w:rFonts w:ascii="Arial" w:hAnsi="Arial" w:cs="Arial"/>
          <w:sz w:val="20"/>
          <w:lang w:eastAsia="en-GB"/>
        </w:rPr>
      </w:pPr>
      <w:r w:rsidRPr="00C70EC3">
        <w:rPr>
          <w:rFonts w:ascii="Arial" w:hAnsi="Arial" w:cs="Arial"/>
          <w:sz w:val="20"/>
          <w:lang w:eastAsia="en-GB"/>
        </w:rPr>
        <w:t xml:space="preserve">Kenny represents business interests and is not of the same class – "He's a crude sort of chap, our Kenny, but he flies the flag for us".  When he is in trouble, he decides to go down fighting: "I want a trophy.  That's what you lot do, isn't it?  </w:t>
      </w:r>
      <w:proofErr w:type="gramStart"/>
      <w:r w:rsidRPr="00C70EC3">
        <w:rPr>
          <w:rFonts w:ascii="Arial" w:hAnsi="Arial" w:cs="Arial"/>
          <w:sz w:val="20"/>
          <w:lang w:eastAsia="en-GB"/>
        </w:rPr>
        <w:t>Heads on walls."</w:t>
      </w:r>
      <w:proofErr w:type="gramEnd"/>
      <w:r w:rsidRPr="00C70EC3">
        <w:rPr>
          <w:rFonts w:ascii="Arial" w:hAnsi="Arial" w:cs="Arial"/>
          <w:sz w:val="20"/>
          <w:lang w:eastAsia="en-GB"/>
        </w:rPr>
        <w:t xml:space="preserve">  – 'you lot' being the British ruling class. </w:t>
      </w:r>
    </w:p>
    <w:p w:rsidR="00091B0B" w:rsidRPr="00C70EC3" w:rsidRDefault="00091B0B" w:rsidP="00091B0B">
      <w:pPr>
        <w:spacing w:after="240"/>
        <w:ind w:left="357"/>
        <w:rPr>
          <w:rFonts w:ascii="Arial" w:hAnsi="Arial" w:cs="Arial"/>
          <w:sz w:val="20"/>
          <w:lang w:eastAsia="en-GB"/>
        </w:rPr>
      </w:pPr>
      <w:r w:rsidRPr="00C70EC3">
        <w:rPr>
          <w:rFonts w:ascii="Arial" w:hAnsi="Arial" w:cs="Arial"/>
          <w:sz w:val="20"/>
          <w:lang w:eastAsia="en-GB"/>
        </w:rPr>
        <w:t>The events take place in the interface between the three groups – the abuse of poor Africans by callous European commercial interests – as well as by their own politicians and health workers – with the connivance of HMG.</w:t>
      </w:r>
    </w:p>
    <w:p w:rsidR="00091B0B" w:rsidRPr="00C70EC3" w:rsidRDefault="00091B0B" w:rsidP="00091B0B">
      <w:pPr>
        <w:spacing w:after="60"/>
        <w:ind w:left="357"/>
        <w:rPr>
          <w:rFonts w:ascii="Arial" w:hAnsi="Arial" w:cs="Arial"/>
          <w:b/>
          <w:sz w:val="20"/>
        </w:rPr>
      </w:pPr>
      <w:r w:rsidRPr="00C70EC3">
        <w:rPr>
          <w:rFonts w:ascii="Arial" w:hAnsi="Arial" w:cs="Arial"/>
          <w:b/>
          <w:sz w:val="20"/>
        </w:rPr>
        <w:t>Director Fernando Meirelles:</w:t>
      </w:r>
    </w:p>
    <w:p w:rsidR="00091B0B" w:rsidRPr="00C70EC3" w:rsidRDefault="00091B0B" w:rsidP="00091B0B">
      <w:pPr>
        <w:spacing w:after="120"/>
        <w:ind w:left="357"/>
        <w:rPr>
          <w:rFonts w:ascii="Trebuchet MS" w:hAnsi="Trebuchet MS" w:cs="Arial"/>
          <w:szCs w:val="18"/>
        </w:rPr>
      </w:pPr>
      <w:r w:rsidRPr="00C70EC3">
        <w:rPr>
          <w:rFonts w:ascii="Trebuchet MS" w:hAnsi="Trebuchet MS" w:cs="Arial"/>
          <w:szCs w:val="18"/>
        </w:rPr>
        <w:t>Our actors were able to meet people from the High Commission and went to their houses to see how they live.  We had lunch in London with diplomats working in Kenya.  Our feeling, talking to them and being in their offices, was that the HC these days is like any other business.  It looks like Unilever or Shell; it's really about doing business and making opportunities for business.  Although it's been 42 years since British rule in Kenya ended, there's still a tie that binds – now mostly for different reasons.</w:t>
      </w:r>
    </w:p>
    <w:p w:rsidR="00091B0B" w:rsidRPr="00C70EC3" w:rsidRDefault="00091B0B" w:rsidP="00091B0B">
      <w:pPr>
        <w:spacing w:after="60"/>
        <w:ind w:left="357"/>
        <w:rPr>
          <w:rFonts w:ascii="Arial" w:hAnsi="Arial" w:cs="Arial"/>
          <w:sz w:val="20"/>
        </w:rPr>
      </w:pPr>
      <w:r w:rsidRPr="00C70EC3">
        <w:rPr>
          <w:rFonts w:ascii="Arial" w:hAnsi="Arial" w:cs="Arial"/>
          <w:sz w:val="20"/>
        </w:rPr>
        <w:t xml:space="preserve">Meirelles felt that his perspective was different from the outset.  </w:t>
      </w:r>
    </w:p>
    <w:p w:rsidR="00091B0B" w:rsidRPr="00C70EC3" w:rsidRDefault="00091B0B" w:rsidP="00091B0B">
      <w:pPr>
        <w:spacing w:after="120"/>
        <w:ind w:left="357"/>
        <w:rPr>
          <w:rFonts w:ascii="Trebuchet MS" w:hAnsi="Trebuchet MS" w:cs="Tahoma"/>
          <w:szCs w:val="18"/>
        </w:rPr>
      </w:pPr>
      <w:r w:rsidRPr="00C70EC3">
        <w:rPr>
          <w:rFonts w:ascii="Trebuchet MS" w:hAnsi="Trebuchet MS" w:cs="Tahoma"/>
          <w:szCs w:val="18"/>
        </w:rPr>
        <w:t>John le Carré wrote a story about a developing country and big business from the point of view of a person from the First World.  When I read the book, I put myself in the other position.  I saw myself in Africa, with the big companies coming in.  In some respects, Jeffrey Caine's script tells the story through Kenyan eyes and, as a person from the Third World.  I identified more with the Kenyans than with the British.</w:t>
      </w:r>
    </w:p>
    <w:p w:rsidR="00091B0B" w:rsidRDefault="00091B0B" w:rsidP="00091B0B">
      <w:pPr>
        <w:spacing w:after="60"/>
        <w:ind w:left="357"/>
        <w:rPr>
          <w:rFonts w:ascii="Arial" w:hAnsi="Arial" w:cs="Arial"/>
          <w:b/>
          <w:sz w:val="20"/>
        </w:rPr>
      </w:pPr>
    </w:p>
    <w:p w:rsidR="00091B0B" w:rsidRPr="00C70EC3" w:rsidRDefault="00091B0B" w:rsidP="00091B0B">
      <w:pPr>
        <w:spacing w:after="60"/>
        <w:ind w:left="357"/>
        <w:rPr>
          <w:rFonts w:ascii="Arial" w:hAnsi="Arial" w:cs="Arial"/>
          <w:b/>
          <w:sz w:val="20"/>
        </w:rPr>
      </w:pPr>
      <w:r w:rsidRPr="00C70EC3">
        <w:rPr>
          <w:rFonts w:ascii="Arial" w:hAnsi="Arial" w:cs="Arial"/>
          <w:b/>
          <w:sz w:val="20"/>
        </w:rPr>
        <w:t xml:space="preserve">Danny Huston (Sandy): </w:t>
      </w:r>
    </w:p>
    <w:p w:rsidR="00091B0B" w:rsidRPr="00C70EC3" w:rsidRDefault="00091B0B" w:rsidP="00091B0B">
      <w:pPr>
        <w:ind w:left="357"/>
        <w:rPr>
          <w:rFonts w:ascii="Trebuchet MS" w:hAnsi="Trebuchet MS" w:cs="Arial"/>
          <w:szCs w:val="18"/>
        </w:rPr>
      </w:pPr>
      <w:r w:rsidRPr="00C70EC3">
        <w:rPr>
          <w:rFonts w:ascii="Trebuchet MS" w:hAnsi="Trebuchet MS" w:cs="Arial"/>
          <w:szCs w:val="18"/>
        </w:rPr>
        <w:t>I had a meeting in London with two gentlemen who shall remain nameless, since they worked for MI5 and MI6.  The more time I spent with them, the more I felt that they were actually like the people portrayed in the book.  They have an extraordinary, sometimes spectacular, way of not answering a question you ask them.</w:t>
      </w:r>
    </w:p>
    <w:p w:rsidR="00091B0B" w:rsidRPr="00C70EC3" w:rsidRDefault="00091B0B" w:rsidP="00091B0B">
      <w:pPr>
        <w:spacing w:after="120"/>
        <w:rPr>
          <w:rFonts w:ascii="Arial" w:hAnsi="Arial" w:cs="Arial"/>
          <w:sz w:val="20"/>
        </w:rPr>
      </w:pPr>
    </w:p>
    <w:p w:rsidR="00091B0B" w:rsidRPr="00C70EC3" w:rsidRDefault="00091B0B" w:rsidP="00091B0B">
      <w:pPr>
        <w:spacing w:after="60"/>
        <w:ind w:left="357"/>
        <w:rPr>
          <w:rFonts w:ascii="Arial" w:hAnsi="Arial" w:cs="Arial"/>
          <w:b/>
          <w:sz w:val="20"/>
        </w:rPr>
      </w:pPr>
      <w:r w:rsidRPr="00C70EC3">
        <w:rPr>
          <w:rFonts w:ascii="Arial" w:hAnsi="Arial" w:cs="Arial"/>
          <w:b/>
          <w:sz w:val="20"/>
        </w:rPr>
        <w:t xml:space="preserve">Scriptwriter Jeffrey Caine:  </w:t>
      </w:r>
    </w:p>
    <w:p w:rsidR="004F4EA2" w:rsidRDefault="00091B0B" w:rsidP="00091B0B">
      <w:pPr>
        <w:ind w:left="357"/>
      </w:pPr>
      <w:r w:rsidRPr="00C70EC3">
        <w:rPr>
          <w:rFonts w:ascii="Trebuchet MS" w:hAnsi="Trebuchet MS" w:cs="Arial"/>
          <w:szCs w:val="18"/>
        </w:rPr>
        <w:t xml:space="preserve">The Kenyan setting attracted Fernando to the film, I think.  But what he inherited was as story told through British eyes, embedded in a British post-imperial subculture with which he wasn't wholly familiar.  </w:t>
      </w:r>
      <w:proofErr w:type="gramStart"/>
      <w:r w:rsidRPr="00C70EC3">
        <w:rPr>
          <w:rFonts w:ascii="Trebuchet MS" w:hAnsi="Trebuchet MS" w:cs="Arial"/>
          <w:szCs w:val="18"/>
        </w:rPr>
        <w:t>Unsurprising then that he would want these elements de-emphasised and the African elements given more prominence, without tipping the story out of balance.</w:t>
      </w:r>
      <w:proofErr w:type="gramEnd"/>
      <w:r w:rsidRPr="00C70EC3">
        <w:rPr>
          <w:rFonts w:ascii="Trebuchet MS" w:hAnsi="Trebuchet MS" w:cs="Arial"/>
          <w:szCs w:val="18"/>
        </w:rPr>
        <w:t xml:space="preserve">  This I think we achieved.</w:t>
      </w:r>
    </w:p>
    <w:sectPr w:rsidR="004F4EA2" w:rsidSect="00342D07">
      <w:pgSz w:w="11907" w:h="16840" w:code="9"/>
      <w:pgMar w:top="907" w:right="907" w:bottom="907" w:left="1247" w:header="0" w:footer="68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571D8"/>
    <w:multiLevelType w:val="hybridMultilevel"/>
    <w:tmpl w:val="C24C965E"/>
    <w:lvl w:ilvl="0" w:tplc="B9D46CB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F67643F"/>
    <w:multiLevelType w:val="hybridMultilevel"/>
    <w:tmpl w:val="32D45F2E"/>
    <w:lvl w:ilvl="0" w:tplc="0809000F">
      <w:start w:val="1"/>
      <w:numFmt w:val="decimal"/>
      <w:lvlText w:val="%1."/>
      <w:lvlJc w:val="left"/>
      <w:pPr>
        <w:tabs>
          <w:tab w:val="num" w:pos="360"/>
        </w:tabs>
        <w:ind w:left="360" w:hanging="360"/>
      </w:pPr>
    </w:lvl>
    <w:lvl w:ilvl="1" w:tplc="B9D46CB6">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B0B"/>
    <w:rsid w:val="00091B0B"/>
    <w:rsid w:val="00193BE2"/>
    <w:rsid w:val="001C0698"/>
    <w:rsid w:val="00237B6B"/>
    <w:rsid w:val="00342D07"/>
    <w:rsid w:val="003E0AB7"/>
    <w:rsid w:val="0047741D"/>
    <w:rsid w:val="004C2B2E"/>
    <w:rsid w:val="004F4EA2"/>
    <w:rsid w:val="005E2363"/>
    <w:rsid w:val="006E74EB"/>
    <w:rsid w:val="00830977"/>
    <w:rsid w:val="009161EB"/>
    <w:rsid w:val="009373B8"/>
    <w:rsid w:val="009D47E6"/>
    <w:rsid w:val="00AB0B65"/>
    <w:rsid w:val="00AB63BA"/>
    <w:rsid w:val="00CB1A8B"/>
    <w:rsid w:val="00D831AE"/>
    <w:rsid w:val="00DF4565"/>
    <w:rsid w:val="00F20F53"/>
    <w:rsid w:val="00F94B1B"/>
    <w:rsid w:val="00FA41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B0B"/>
    <w:rPr>
      <w:rFonts w:ascii="Comic Sans MS" w:hAnsi="Comic Sans MS"/>
      <w:sz w:val="18"/>
      <w:lang w:eastAsia="en-US"/>
    </w:rPr>
  </w:style>
  <w:style w:type="paragraph" w:styleId="Heading1">
    <w:name w:val="heading 1"/>
    <w:basedOn w:val="Normal"/>
    <w:next w:val="Normal"/>
    <w:qFormat/>
    <w:pPr>
      <w:keepNext/>
      <w:jc w:val="center"/>
      <w:outlineLvl w:val="0"/>
    </w:pPr>
    <w:rPr>
      <w:rFonts w:cs="Arial"/>
      <w:b/>
      <w:bCs/>
      <w:kern w:val="3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F20F53"/>
    <w:rPr>
      <w:rFonts w:ascii="Arial" w:hAnsi="Arial"/>
      <w:sz w:val="16"/>
    </w:rPr>
  </w:style>
  <w:style w:type="paragraph" w:styleId="PlainText">
    <w:name w:val="Plain Text"/>
    <w:basedOn w:val="Normal"/>
    <w:rsid w:val="006E74EB"/>
    <w:rPr>
      <w:rFonts w:ascii="Arial" w:hAnsi="Arial" w:cs="Courier New"/>
      <w:sz w:val="20"/>
    </w:rPr>
  </w:style>
  <w:style w:type="paragraph" w:styleId="NormalWeb">
    <w:name w:val="Normal (Web)"/>
    <w:basedOn w:val="Normal"/>
    <w:rPr>
      <w:szCs w:val="24"/>
    </w:rPr>
  </w:style>
  <w:style w:type="paragraph" w:styleId="BodyText">
    <w:name w:val="Body Text"/>
    <w:basedOn w:val="Normal"/>
    <w:rsid w:val="00193BE2"/>
    <w:rPr>
      <w:szCs w:val="24"/>
    </w:rPr>
  </w:style>
  <w:style w:type="paragraph" w:styleId="Title">
    <w:name w:val="Title"/>
    <w:basedOn w:val="Normal"/>
    <w:qFormat/>
    <w:rsid w:val="00091B0B"/>
    <w:pPr>
      <w:pBdr>
        <w:top w:val="single" w:sz="4" w:space="1" w:color="auto"/>
        <w:left w:val="single" w:sz="4" w:space="4" w:color="auto"/>
        <w:bottom w:val="single" w:sz="4" w:space="1" w:color="auto"/>
        <w:right w:val="single" w:sz="4" w:space="4" w:color="auto"/>
      </w:pBd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Design and Setting</vt:lpstr>
    </vt:vector>
  </TitlesOfParts>
  <Company>Artemis</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Setting</dc:title>
  <dc:creator>Judy</dc:creator>
  <cp:lastModifiedBy>Judy Lewis</cp:lastModifiedBy>
  <cp:revision>2</cp:revision>
  <dcterms:created xsi:type="dcterms:W3CDTF">2015-06-24T20:56:00Z</dcterms:created>
  <dcterms:modified xsi:type="dcterms:W3CDTF">2015-06-24T20:56:00Z</dcterms:modified>
</cp:coreProperties>
</file>